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5" w:rsidRPr="00B54885" w:rsidRDefault="00B54885" w:rsidP="00B54885">
      <w:pPr>
        <w:shd w:val="clear" w:color="auto" w:fill="FFFFFF"/>
        <w:spacing w:beforeAutospacing="1" w:afterAutospacing="1" w:line="240" w:lineRule="auto"/>
        <w:ind w:firstLine="0"/>
        <w:jc w:val="center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val="ru-RU" w:eastAsia="ru-RU"/>
        </w:rPr>
        <w:t>Секція</w:t>
      </w:r>
      <w:proofErr w:type="spellEnd"/>
      <w:r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«</w:t>
      </w:r>
      <w:proofErr w:type="spellStart"/>
      <w:r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val="ru-RU" w:eastAsia="ru-RU"/>
        </w:rPr>
        <w:t>Прикладна</w:t>
      </w:r>
      <w:proofErr w:type="spellEnd"/>
      <w:r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val="ru-RU" w:eastAsia="ru-RU"/>
        </w:rPr>
        <w:t>Лінгвістика</w:t>
      </w:r>
      <w:proofErr w:type="spellEnd"/>
      <w:r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val="ru-RU" w:eastAsia="ru-RU"/>
        </w:rPr>
        <w:t>»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Важливість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залучення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лінгві</w:t>
      </w:r>
      <w:proofErr w:type="gram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ст</w:t>
      </w:r>
      <w:proofErr w:type="gram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ів-криміналістів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до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розслідувань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злочинів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,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пов'язаних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із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терористичною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діяльністю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", доц.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Каліщук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Д. М.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А.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Кримський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vs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В.Клоустон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або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перекладацький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успіх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скромного студента, доц. О. Г.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Котис</w:t>
      </w:r>
      <w:proofErr w:type="spellEnd"/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Філософія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,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мова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,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політика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: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критичний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аналіз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дискурсу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Нобелівської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промови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Бертрана Рассела, проф. І. П.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Біскуб</w:t>
      </w:r>
      <w:proofErr w:type="spellEnd"/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Засоби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та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механізми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репрезентації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COVID-19 в  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англомовному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масмедійному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просторі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доц. Л. Л.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Макарук</w:t>
      </w:r>
      <w:proofErr w:type="spellEnd"/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Анімалістичні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метафори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як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засоби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актуалізації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депресивного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стану в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англомовних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художніх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текстах, ст.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викладач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О. О.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Карпі</w:t>
      </w:r>
      <w:proofErr w:type="gram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на</w:t>
      </w:r>
      <w:proofErr w:type="spellEnd"/>
      <w:proofErr w:type="gramEnd"/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bookmarkStart w:id="0" w:name="_GoBack"/>
      <w:bookmarkEnd w:id="0"/>
      <w:proofErr w:type="spellStart"/>
      <w:proofErr w:type="gram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Досл</w:t>
      </w:r>
      <w:proofErr w:type="gram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ідження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концептосфер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української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та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американської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молоді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, доц. Т. Г. Бондар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Штучний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інтелект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в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освітньому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процесі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, ст.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викладач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Е. В.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Розвод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 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20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кроків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назустріч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візуальному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дизайну доц. Ю. М.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Линник</w:t>
      </w:r>
      <w:proofErr w:type="spellEnd"/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Language and Food Online,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доц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. 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О. О. Рогач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en-US" w:eastAsia="ru-RU"/>
        </w:rPr>
      </w:pP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Types of Manipulation in Business Advertising,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ст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викладач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Ю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. 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 xml:space="preserve">. 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Рогач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Антропоцентризм як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базовий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принцип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аналізу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ендофазних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форм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мовомислення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художнього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прозового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тексту,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асистент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І. Б.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Кауза</w:t>
      </w:r>
      <w:proofErr w:type="spellEnd"/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Використання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інтелектуальних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технологій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у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обробці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інформації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, доц. Л. Ю.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Крестьянполь</w:t>
      </w:r>
      <w:proofErr w:type="spellEnd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 </w:t>
      </w:r>
    </w:p>
    <w:p w:rsidR="00B54885" w:rsidRPr="00B54885" w:rsidRDefault="00B54885" w:rsidP="00B54885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01F1E"/>
          <w:sz w:val="26"/>
          <w:szCs w:val="26"/>
          <w:lang w:val="ru-RU" w:eastAsia="ru-RU"/>
        </w:rPr>
      </w:pP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en-US" w:eastAsia="ru-RU"/>
        </w:rPr>
        <w:t>Why Applied Linguists Make the Best Copywriters?  </w:t>
      </w:r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 xml:space="preserve">доц. А. Л. </w:t>
      </w:r>
      <w:proofErr w:type="spellStart"/>
      <w:r w:rsidRPr="00B54885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  <w:lang w:val="ru-RU" w:eastAsia="ru-RU"/>
        </w:rPr>
        <w:t>Данильчук</w:t>
      </w:r>
      <w:proofErr w:type="spellEnd"/>
    </w:p>
    <w:p w:rsidR="00E07D62" w:rsidRDefault="00E07D62"/>
    <w:sectPr w:rsidR="00E07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A9"/>
    <w:multiLevelType w:val="multilevel"/>
    <w:tmpl w:val="F3C4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85"/>
    <w:rsid w:val="00B54885"/>
    <w:rsid w:val="00E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p1">
    <w:name w:val="x_p1"/>
    <w:basedOn w:val="a"/>
    <w:rsid w:val="00B548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xs1">
    <w:name w:val="x_s1"/>
    <w:basedOn w:val="a0"/>
    <w:rsid w:val="00B54885"/>
  </w:style>
  <w:style w:type="paragraph" w:customStyle="1" w:styleId="xp2">
    <w:name w:val="x_p2"/>
    <w:basedOn w:val="a"/>
    <w:rsid w:val="00B548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xs2">
    <w:name w:val="x_s2"/>
    <w:basedOn w:val="a0"/>
    <w:rsid w:val="00B54885"/>
  </w:style>
  <w:style w:type="character" w:customStyle="1" w:styleId="xs3">
    <w:name w:val="x_s3"/>
    <w:basedOn w:val="a0"/>
    <w:rsid w:val="00B54885"/>
  </w:style>
  <w:style w:type="character" w:customStyle="1" w:styleId="xapple-converted-space">
    <w:name w:val="x_apple-converted-space"/>
    <w:basedOn w:val="a0"/>
    <w:rsid w:val="00B5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p1">
    <w:name w:val="x_p1"/>
    <w:basedOn w:val="a"/>
    <w:rsid w:val="00B548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xs1">
    <w:name w:val="x_s1"/>
    <w:basedOn w:val="a0"/>
    <w:rsid w:val="00B54885"/>
  </w:style>
  <w:style w:type="paragraph" w:customStyle="1" w:styleId="xp2">
    <w:name w:val="x_p2"/>
    <w:basedOn w:val="a"/>
    <w:rsid w:val="00B548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xs2">
    <w:name w:val="x_s2"/>
    <w:basedOn w:val="a0"/>
    <w:rsid w:val="00B54885"/>
  </w:style>
  <w:style w:type="character" w:customStyle="1" w:styleId="xs3">
    <w:name w:val="x_s3"/>
    <w:basedOn w:val="a0"/>
    <w:rsid w:val="00B54885"/>
  </w:style>
  <w:style w:type="character" w:customStyle="1" w:styleId="xapple-converted-space">
    <w:name w:val="x_apple-converted-space"/>
    <w:basedOn w:val="a0"/>
    <w:rsid w:val="00B5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2021-05-12T19:51:00Z</dcterms:created>
  <dcterms:modified xsi:type="dcterms:W3CDTF">2021-05-12T19:53:00Z</dcterms:modified>
</cp:coreProperties>
</file>